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219"/>
        <w:spacing w:line="10319" w:lineRule="exact"/>
        <w:rPr/>
      </w:pPr>
      <w:r>
        <w:rPr>
          <w:position w:val="-206"/>
        </w:rPr>
        <w:drawing>
          <wp:inline distT="0" distB="0" distL="0" distR="0">
            <wp:extent cx="4666347" cy="655294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66347" cy="655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319" w:lineRule="exact"/>
        <w:sectPr>
          <w:pgSz w:w="16840" w:h="11907"/>
          <w:pgMar w:top="793" w:right="2525" w:bottom="0" w:left="2525" w:header="0" w:footer="0" w:gutter="0"/>
        </w:sectPr>
        <w:rPr/>
      </w:pPr>
    </w:p>
    <w:p>
      <w:pPr>
        <w:ind w:firstLine="2524"/>
        <w:spacing w:line="10319" w:lineRule="exact"/>
        <w:rPr/>
      </w:pPr>
      <w:r>
        <w:rPr>
          <w:position w:val="-206"/>
        </w:rPr>
        <w:drawing>
          <wp:inline distT="0" distB="0" distL="0" distR="0">
            <wp:extent cx="4279468" cy="655294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79468" cy="655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0319" w:lineRule="exact"/>
        <w:sectPr>
          <w:pgSz w:w="16840" w:h="11907"/>
          <w:pgMar w:top="793" w:right="2525" w:bottom="0" w:left="2525" w:header="0" w:footer="0" w:gutter="0"/>
        </w:sectPr>
        <w:rPr/>
      </w:pPr>
    </w:p>
    <w:p>
      <w:pPr>
        <w:spacing w:before="60"/>
        <w:rPr/>
      </w:pPr>
      <w:r/>
    </w:p>
    <w:tbl>
      <w:tblPr>
        <w:tblStyle w:val="TableNormal"/>
        <w:tblW w:w="5964" w:type="dxa"/>
        <w:tblInd w:w="285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88"/>
        <w:gridCol w:w="1746"/>
        <w:gridCol w:w="698"/>
        <w:gridCol w:w="1057"/>
        <w:gridCol w:w="2075"/>
      </w:tblGrid>
      <w:tr>
        <w:trPr>
          <w:trHeight w:val="627" w:hRule="atLeast"/>
        </w:trPr>
        <w:tc>
          <w:tcPr>
            <w:tcW w:w="3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7" w:hRule="atLeast"/>
        </w:trPr>
        <w:tc>
          <w:tcPr>
            <w:tcW w:w="2832" w:type="dxa"/>
            <w:vAlign w:val="top"/>
            <w:gridSpan w:val="3"/>
          </w:tcPr>
          <w:p>
            <w:pPr>
              <w:ind w:left="1304"/>
              <w:spacing w:before="242" w:line="237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合计</w:t>
            </w:r>
          </w:p>
        </w:tc>
        <w:tc>
          <w:tcPr>
            <w:tcW w:w="10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2926"/>
        <w:spacing w:before="34" w:line="219" w:lineRule="auto"/>
        <w:rPr>
          <w:sz w:val="12"/>
          <w:szCs w:val="12"/>
        </w:rPr>
      </w:pPr>
      <w:r>
        <w:rPr>
          <w:sz w:val="12"/>
          <w:szCs w:val="12"/>
        </w:rPr>
        <w:t>注：投标人应将上述材料、工程设备暂估单价计入工</w:t>
      </w:r>
      <w:r>
        <w:rPr>
          <w:sz w:val="12"/>
          <w:szCs w:val="12"/>
          <w:spacing w:val="-1"/>
        </w:rPr>
        <w:t>程量清单综合单价报价中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2864"/>
        <w:spacing w:before="59" w:line="229" w:lineRule="auto"/>
        <w:rPr/>
      </w:pPr>
      <w:r>
        <w:rPr>
          <w:b/>
          <w:bCs/>
          <w:spacing w:val="-1"/>
        </w:rPr>
        <w:t>工程量清单需要重新下载，编制投标报价。</w:t>
      </w:r>
    </w:p>
    <w:p>
      <w:pPr>
        <w:pStyle w:val="BodyText"/>
        <w:ind w:left="2864" w:right="3423"/>
        <w:spacing w:before="196" w:line="391" w:lineRule="auto"/>
        <w:rPr/>
      </w:pPr>
      <w:r>
        <w:rPr>
          <w:spacing w:val="14"/>
        </w:rPr>
        <w:t>2、原开标时间和递交投标文件截止时间为：2024年8月6日</w:t>
      </w:r>
      <w:r>
        <w:rPr>
          <w:spacing w:val="13"/>
        </w:rPr>
        <w:t>9时30</w:t>
      </w:r>
      <w:r>
        <w:rPr/>
        <w:t xml:space="preserve"> </w:t>
      </w:r>
      <w:r>
        <w:rPr>
          <w:spacing w:val="16"/>
        </w:rPr>
        <w:t>分，现修改为：</w:t>
      </w:r>
      <w:r>
        <w:rPr>
          <w:spacing w:val="-27"/>
        </w:rPr>
        <w:t xml:space="preserve"> </w:t>
      </w:r>
      <w:r>
        <w:rPr>
          <w:spacing w:val="16"/>
        </w:rPr>
        <w:t>2024年8月14日9时30分。</w:t>
      </w:r>
    </w:p>
    <w:p>
      <w:pPr>
        <w:pStyle w:val="BodyText"/>
        <w:ind w:left="2862"/>
        <w:spacing w:before="39" w:line="230" w:lineRule="auto"/>
        <w:rPr/>
      </w:pPr>
      <w:r>
        <w:rPr>
          <w:spacing w:val="3"/>
        </w:rPr>
        <w:t>其他内容不变。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2771393</wp:posOffset>
            </wp:positionH>
            <wp:positionV relativeFrom="paragraph">
              <wp:posOffset>171068</wp:posOffset>
            </wp:positionV>
            <wp:extent cx="1132332" cy="112775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2332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6509"/>
        <w:spacing w:before="59" w:line="230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4066793</wp:posOffset>
            </wp:positionH>
            <wp:positionV relativeFrom="paragraph">
              <wp:posOffset>-493293</wp:posOffset>
            </wp:positionV>
            <wp:extent cx="1060703" cy="1034796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0703" cy="1034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"/>
        </w:rPr>
        <w:t>海城市望台镇初级中学</w:t>
      </w:r>
    </w:p>
    <w:p>
      <w:pPr>
        <w:pStyle w:val="BodyText"/>
        <w:ind w:left="6166" w:right="3398"/>
        <w:spacing w:before="178" w:line="393" w:lineRule="auto"/>
        <w:jc w:val="right"/>
        <w:rPr/>
      </w:pPr>
      <w:r>
        <w:rPr>
          <w:spacing w:val="5"/>
        </w:rPr>
        <w:t>辽宁富弘项目管理有限公司</w:t>
      </w:r>
      <w:r>
        <w:rPr>
          <w:spacing w:val="1"/>
        </w:rPr>
        <w:t xml:space="preserve"> </w:t>
      </w:r>
      <w:r>
        <w:rPr>
          <w:spacing w:val="19"/>
        </w:rPr>
        <w:t>2024年7</w:t>
      </w:r>
      <w:r>
        <w:rPr>
          <w:spacing w:val="-49"/>
        </w:rPr>
        <w:t xml:space="preserve"> </w:t>
      </w:r>
      <w:r>
        <w:rPr>
          <w:spacing w:val="19"/>
        </w:rPr>
        <w:t>月29</w:t>
      </w:r>
      <w:r>
        <w:rPr>
          <w:spacing w:val="-22"/>
        </w:rPr>
        <w:t xml:space="preserve"> </w:t>
      </w:r>
      <w:r>
        <w:rPr>
          <w:spacing w:val="19"/>
        </w:rPr>
        <w:t>日</w:t>
      </w:r>
    </w:p>
    <w:sectPr>
      <w:pgSz w:w="16840" w:h="11910"/>
      <w:pgMar w:top="1012" w:right="2526" w:bottom="0" w:left="252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2024-07-29T17:20:23Z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2024-07-30T07:57:46</vt:filetime>
  </property>
</Properties>
</file>